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E6" w:rsidRPr="00A26DE6" w:rsidRDefault="00A26DE6" w:rsidP="00A26DE6">
      <w:pPr>
        <w:shd w:val="clear" w:color="auto" w:fill="A0C73F"/>
        <w:spacing w:before="100" w:beforeAutospacing="1" w:after="100" w:afterAutospacing="1" w:line="240" w:lineRule="auto"/>
        <w:outlineLvl w:val="3"/>
        <w:rPr>
          <w:rFonts w:ascii="TH SarabunIT๙" w:eastAsia="Times New Roman" w:hAnsi="TH SarabunIT๙" w:cs="TH SarabunIT๙"/>
          <w:b/>
          <w:bCs/>
          <w:color w:val="555A4A"/>
          <w:sz w:val="36"/>
          <w:szCs w:val="36"/>
        </w:rPr>
      </w:pPr>
      <w:r w:rsidRPr="00A26DE6">
        <w:rPr>
          <w:rFonts w:ascii="TH SarabunIT๙" w:eastAsia="Times New Roman" w:hAnsi="TH SarabunIT๙" w:cs="TH SarabunIT๙"/>
          <w:b/>
          <w:bCs/>
          <w:color w:val="555A4A"/>
          <w:sz w:val="36"/>
          <w:szCs w:val="36"/>
          <w:cs/>
        </w:rPr>
        <w:t>นโยบายป้องกันและขจัดมลพิษภายใต้นโยบายและแผนการส่งเสริมและรักษาคุณภาพสิ่งแวดล้อมแห่งชาติ</w:t>
      </w:r>
    </w:p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</w:tblGrid>
      <w:tr w:rsidR="00A26DE6" w:rsidRPr="00A26DE6" w:rsidTr="00A26DE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4F8"/>
                  <w:vAlign w:val="center"/>
                  <w:hideMark/>
                </w:tcPr>
                <w:tbl>
                  <w:tblPr>
                    <w:tblW w:w="6840" w:type="dxa"/>
                    <w:jc w:val="center"/>
                    <w:tblCellSpacing w:w="6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840"/>
                  </w:tblGrid>
                  <w:tr w:rsidR="00A26DE6" w:rsidRPr="00A26DE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6DE6" w:rsidRPr="00A26DE6" w:rsidRDefault="00A26DE6" w:rsidP="00A26DE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26DE6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สถานการณ์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26DE6">
                          <w:rPr>
                            <w:rFonts w:ascii="TH SarabunIT๙" w:eastAsia="Times New Roman" w:hAnsi="TH SarabunIT๙" w:cs="TH SarabunIT๙"/>
                            <w:noProof/>
                            <w:sz w:val="32"/>
                            <w:szCs w:val="32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6" type="#_x0000_t75" alt="" style="position:absolute;left:0;text-align:left;margin-left:129.5pt;margin-top:0;width:169.5pt;height:174.75pt;z-index:251660288;mso-wrap-distance-left:0;mso-wrap-distance-right:0;mso-position-horizontal:right;mso-position-vertical-relative:line" o:allowoverlap="f">
                              <w10:wrap type="square"/>
                            </v:shape>
                          </w:pic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มลพิษทางอากาศ เป็นปัญหาสิ่งแวดล้อมที่เห็นชัดเจนทั้งในเขตชุมชนขนาดใหญ่ และพื้นที่พัฒนาที่มีการขยายตัวอย่างรวดเร็วของกิจกรรมอุตสาหกรรม การคมนาคม การจราจร และการก่อสร้าง รวมทั้งพื้นที่ ที่เป็นที่ตั้งโรงไฟฟ้า สารมลพิษทางอากาศที่เป็นปัญหาหลักและเกินมาตรฐาน ซึ่งจะยังคงเป็นปัญหาในอนาคตที่สำคัญนั้น ได้แก่ ฝุ่นละอองและก๊าซคาร์บอนมอนอกไซด์ โดยเฉพาะฝุ่นละอองในแหล่งชุมชนที่มีการจราจรคับคั่ง จะมีค่าความเข้มข้นสูงกว่าค่ามาตรฐานประมาณ </w: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3-5 </w: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เท่า ส่วนสารมลพิษอื่นๆได้แก่ สารตะกั่ว ก๊าซ</w:t>
                        </w:r>
                        <w:proofErr w:type="spellStart"/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ซัลเฟอร์</w:t>
                        </w:r>
                        <w:proofErr w:type="spellEnd"/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ไดออกไซด์ และก๊าซไนโตรเจนไดออกไซด์ ปัจจุบันยังอยู่ในเกณฑ์มาตรฐานคุณภาพอากาศในบรรยากาศ</w: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สารมลพิษทางอากาศเหล่านี้จะระบายออกจากแหล่งกำเนิดต่างๆ ในเขตชุมชน ทั้งจากยานพาหนะ การก่อสร้าง อาคารบ้านเรือน การก่อสร้างปรับปรุงถนนและผิวจราจรตลอดจนโรงอุตสาหกรรมและสถานประกอบการต่างๆ ซึ่งสารมลพิษเหล่านี้ นอกจากจะส่งผลกระทบต่อสุขภาพอนามัยของประชาชนโดยตรงแล้ว ยังก่อให้เกิด</w:t>
                        </w:r>
                        <w:proofErr w:type="spellStart"/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ภาวะการ</w:t>
                        </w:r>
                        <w:proofErr w:type="spellEnd"/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ต่างๆแก่โลกด้วย คือ การเปลี่ยนแปลงของอุณหภูมิของโลก การทำลายชั้นโอโซนเป็นต้น</w: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ปัจจุบันรัฐบาลได้ดำเนินการเพื่อการแก้ไขปัญหามลพิษทางอากาศ ทั้งในด้านการกำหนดมาตรฐานคุณภาพอากาศจากแหล่งกำเนิด มาตรฐานคุณภาพน้ำมันเชื้อเพลิง มาตรฐานน้ำมันหล่อลื่น หรือการส่งเสริมการใช้น้ำมันไร้สารตะกั่ว การติดตั้งอุปกรณ์กรองไอเสียจากรถยนต์ การตรวจสภาพมลพิษจากยานพาหนะก่อนการต่อทะเบียน การควบคุมปริมาณสารมลพิษทางอากาศจากโรงงานอุตสาหกรรมที่จะต้องควบคุมมลพิษทางอากาศ และเพิ่มเติมปรับปรุงมาตรฐานมลพิษก็ตาม แต่ ก็สามารถแก้ไขปัญหาได้เพียงแต่ระดับหนึ่งเท่านั้น ทั้งนี้เนื่องจากการควบคุมป้องกันและแก้ไขปัญหามลพิษทางอากาศยังขาดความเป็นเอกภาพมี</w:t>
                        </w:r>
                        <w:r w:rsidRPr="00A26DE6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lastRenderedPageBreak/>
                          <w:t>หลายหน่วยงานรับผิดชอบ การประสานการปฏิบัติการยังไม่มีประสิทธิภาพเพียงพอ หน่วยงานที่ทำหน้าที่ตรวจสอบและควบคุมการระบายมลพิษทางอากาศ ยังขาดอุปกรณ์และบุคคลากรที่มีความรู้ความชำนาญด้านการตรวจวัดและจัดระบบฐานข้อมูล การตรวจสอบและตรวจยานพาหนะไม่มีประสิทธิภาพ การศึกษาวิจัยและการพัฒนาเทคโนโลยีเพื่อลดมลพิษทางอากาศ เช่น รถสามล้อไฟฟ้า รถเมล์ไฟฟ้า รถจักรยานยนต์ไฟฟ้า ยังไม่สามารถพัฒนาในเชิงพาณิชย์ และประการสำคัญการขาดการรณรงค์และประชาสัมพันธ์อย่างต่อเนื่องที่จะให้ประชาชนและผู้ใช้ยานพาหนะปรับเปลี่ยนพฤติกรรมในการช่วยลดมลพิษทางอากาศ</w:t>
                        </w:r>
                      </w:p>
                    </w:tc>
                  </w:tr>
                </w:tbl>
                <w:p w:rsidR="00A26DE6" w:rsidRPr="00A26DE6" w:rsidRDefault="00A26DE6" w:rsidP="00A26DE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vanish/>
                <w:sz w:val="24"/>
                <w:szCs w:val="24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6896"/>
              <w:gridCol w:w="152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120" w:type="dxa"/>
                  <w:shd w:val="clear" w:color="auto" w:fill="7FA1C1"/>
                  <w:vAlign w:val="bottom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25" type="#_x0000_t75" alt="" style="width:7.65pt;height:7.65pt"/>
                    </w:pict>
                  </w:r>
                </w:p>
              </w:tc>
              <w:tc>
                <w:tcPr>
                  <w:tcW w:w="6960" w:type="dxa"/>
                  <w:shd w:val="clear" w:color="auto" w:fill="7FA1C1"/>
                  <w:vAlign w:val="center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26" type="#_x0000_t75" alt="" style="width:.55pt;height:.55pt"/>
                    </w:pict>
                  </w:r>
                </w:p>
              </w:tc>
              <w:tc>
                <w:tcPr>
                  <w:tcW w:w="120" w:type="dxa"/>
                  <w:shd w:val="clear" w:color="auto" w:fill="7FA1C1"/>
                  <w:vAlign w:val="bottom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27" type="#_x0000_t75" alt="" style="width:7.65pt;height:7.65pt"/>
                    </w:pict>
                  </w: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  <w:tr w:rsidR="00A26DE6" w:rsidRPr="00A26DE6" w:rsidTr="00A26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DE6" w:rsidRPr="00A26DE6" w:rsidRDefault="00A26DE6" w:rsidP="00A26DE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hyperlink r:id="rId5" w:anchor="top" w:history="1">
              <w:r w:rsidRPr="00A26DE6">
                <w:rPr>
                  <w:rFonts w:ascii="Tahoma" w:eastAsia="Times New Roman" w:hAnsi="Tahoma" w:cs="Tahoma"/>
                  <w:color w:val="087BEF"/>
                  <w:sz w:val="24"/>
                  <w:szCs w:val="24"/>
                </w:rPr>
                <w:pict>
                  <v:shape id="_x0000_i1028" type="#_x0000_t75" alt="" href="http://www.pcd.go.th/info_serv/reg_polair.html#top" style="width:60.55pt;height:13.65pt;mso-wrap-distance-top:7.5pt;mso-wrap-distance-bottom:7.5pt" o:button="t"/>
                </w:pict>
              </w:r>
            </w:hyperlink>
          </w:p>
        </w:tc>
      </w:tr>
      <w:tr w:rsidR="00A26DE6" w:rsidRPr="00A26DE6" w:rsidTr="00A26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A26DE6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br/>
            </w:r>
            <w:bookmarkStart w:id="0" w:name="s2"/>
            <w:bookmarkEnd w:id="0"/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6896"/>
              <w:gridCol w:w="152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120" w:type="dxa"/>
                  <w:shd w:val="clear" w:color="auto" w:fill="7FA1C1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29" type="#_x0000_t75" alt="" style="width:7.65pt;height:7.65pt"/>
                    </w:pict>
                  </w:r>
                </w:p>
              </w:tc>
              <w:tc>
                <w:tcPr>
                  <w:tcW w:w="6960" w:type="dxa"/>
                  <w:shd w:val="clear" w:color="auto" w:fill="7FA1C1"/>
                  <w:vAlign w:val="center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0" type="#_x0000_t75" alt="" style="width:.55pt;height:.55pt"/>
                    </w:pict>
                  </w:r>
                </w:p>
              </w:tc>
              <w:tc>
                <w:tcPr>
                  <w:tcW w:w="120" w:type="dxa"/>
                  <w:shd w:val="clear" w:color="auto" w:fill="7FA1C1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1" type="#_x0000_t75" alt="" style="width:7.65pt;height:7.65pt"/>
                    </w:pict>
                  </w: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vanish/>
                <w:sz w:val="24"/>
                <w:szCs w:val="24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4F8"/>
                  <w:vAlign w:val="center"/>
                  <w:hideMark/>
                </w:tcPr>
                <w:tbl>
                  <w:tblPr>
                    <w:tblW w:w="6840" w:type="dxa"/>
                    <w:jc w:val="center"/>
                    <w:tblCellSpacing w:w="6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840"/>
                  </w:tblGrid>
                  <w:tr w:rsidR="00A26DE6" w:rsidRPr="00A26DE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660066"/>
                            <w:sz w:val="28"/>
                          </w:rPr>
                        </w:pPr>
                        <w:r w:rsidRPr="00A26DE6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660066"/>
                            <w:sz w:val="28"/>
                            <w:cs/>
                          </w:rPr>
                          <w:t>เป้าหมาย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คุณภาพอากาศในเขตควบคุมมลพิษและเขตเมือง โดยเฉพาะฝุ่นละอองจะอยู่ในเกณฑ์มาตรฐานคุณภาพอากาศในบรรยากาศ โดยทั่วไปฝุ่นละอองในบริเวณทั่วไปมีค่าเฉลี่ย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ปีไม่เกิน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0.01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มิลลิกรัม/ลูกบาศก์เมตร และฝุ่นละอองในบริเวณริมถนน จะมีความเข้มข้นเฉลี่ย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24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ชั่วโมงสูงสุดไม่เกิน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0.3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มิลลิกรัม/ลูกบาศก์เมตร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สารมลพิษอื่นๆ จะอยู่ในเกณฑ์มาตรฐาน โดยเฉพาะ</w:t>
                        </w:r>
                        <w:proofErr w:type="spellStart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ก็าซ</w:t>
                        </w:r>
                        <w:proofErr w:type="spellEnd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คาร์บอนมอนอกไซด์ตั้งแต่ปี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2540</w:t>
                        </w:r>
                      </w:p>
                      <w:p w:rsidR="00A26DE6" w:rsidRPr="00A26DE6" w:rsidRDefault="00A26DE6" w:rsidP="00A26DE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ระดับปริมาณสารมลพิษทางอากาศในเขตอุตสาหกรรมและชุมชนทั่วไป โดยเฉพาะ</w:t>
                        </w:r>
                        <w:proofErr w:type="spellStart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ก็าซซัลเฟอร์</w:t>
                        </w:r>
                        <w:proofErr w:type="spellEnd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ไดออกไซด์ </w:t>
                        </w:r>
                        <w:proofErr w:type="spellStart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และก็า</w:t>
                        </w:r>
                        <w:proofErr w:type="spellEnd"/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ซออกไซด์ของไนโตรเจนจะอยู่ในเกณฑ์มาตรฐาน</w:t>
                        </w:r>
                      </w:p>
                    </w:tc>
                  </w:tr>
                </w:tbl>
                <w:p w:rsidR="00A26DE6" w:rsidRPr="00A26DE6" w:rsidRDefault="00A26DE6" w:rsidP="00A26DE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vanish/>
                <w:sz w:val="24"/>
                <w:szCs w:val="24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6896"/>
              <w:gridCol w:w="152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120" w:type="dxa"/>
                  <w:shd w:val="clear" w:color="auto" w:fill="7FA1C1"/>
                  <w:vAlign w:val="bottom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2" type="#_x0000_t75" alt="" style="width:7.65pt;height:7.65pt"/>
                    </w:pict>
                  </w:r>
                </w:p>
              </w:tc>
              <w:tc>
                <w:tcPr>
                  <w:tcW w:w="6960" w:type="dxa"/>
                  <w:shd w:val="clear" w:color="auto" w:fill="7FA1C1"/>
                  <w:vAlign w:val="center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3" type="#_x0000_t75" alt="" style="width:.55pt;height:.55pt"/>
                    </w:pict>
                  </w:r>
                </w:p>
              </w:tc>
              <w:tc>
                <w:tcPr>
                  <w:tcW w:w="120" w:type="dxa"/>
                  <w:shd w:val="clear" w:color="auto" w:fill="7FA1C1"/>
                  <w:vAlign w:val="bottom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4" type="#_x0000_t75" alt="" style="width:7.65pt;height:7.65pt"/>
                    </w:pict>
                  </w: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  <w:tr w:rsidR="00A26DE6" w:rsidRPr="00A26DE6" w:rsidTr="00A26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DE6" w:rsidRPr="00A26DE6" w:rsidRDefault="00A26DE6" w:rsidP="00A26DE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hyperlink r:id="rId6" w:anchor="top" w:history="1">
              <w:r w:rsidRPr="00A26DE6">
                <w:rPr>
                  <w:rFonts w:ascii="Tahoma" w:eastAsia="Times New Roman" w:hAnsi="Tahoma" w:cs="Tahoma"/>
                  <w:color w:val="087BEF"/>
                  <w:sz w:val="24"/>
                  <w:szCs w:val="24"/>
                </w:rPr>
                <w:pict>
                  <v:shape id="_x0000_i1035" type="#_x0000_t75" alt="" href="http://www.pcd.go.th/info_serv/reg_polair.html#top" style="width:60.55pt;height:13.65pt;mso-wrap-distance-top:7.5pt;mso-wrap-distance-bottom:7.5pt" o:button="t"/>
                </w:pict>
              </w:r>
            </w:hyperlink>
          </w:p>
        </w:tc>
      </w:tr>
      <w:tr w:rsidR="00A26DE6" w:rsidRPr="00A26DE6" w:rsidTr="00A26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A26DE6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br/>
            </w:r>
            <w:bookmarkStart w:id="1" w:name="s3"/>
            <w:bookmarkEnd w:id="1"/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6896"/>
              <w:gridCol w:w="152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120" w:type="dxa"/>
                  <w:shd w:val="clear" w:color="auto" w:fill="7FA1C1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6" type="#_x0000_t75" alt="" style="width:7.65pt;height:7.65pt"/>
                    </w:pict>
                  </w:r>
                </w:p>
              </w:tc>
              <w:tc>
                <w:tcPr>
                  <w:tcW w:w="6960" w:type="dxa"/>
                  <w:shd w:val="clear" w:color="auto" w:fill="7FA1C1"/>
                  <w:vAlign w:val="center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7" type="#_x0000_t75" alt="" style="width:.55pt;height:.55pt"/>
                    </w:pict>
                  </w:r>
                </w:p>
              </w:tc>
              <w:tc>
                <w:tcPr>
                  <w:tcW w:w="120" w:type="dxa"/>
                  <w:shd w:val="clear" w:color="auto" w:fill="7FA1C1"/>
                  <w:hideMark/>
                </w:tcPr>
                <w:p w:rsidR="00A26DE6" w:rsidRPr="00A26DE6" w:rsidRDefault="00A26DE6" w:rsidP="00A26DE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26DE6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shape id="_x0000_i1038" type="#_x0000_t75" alt="" style="width:7.65pt;height:7.65pt"/>
                    </w:pict>
                  </w: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vanish/>
                <w:sz w:val="24"/>
                <w:szCs w:val="24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A26DE6" w:rsidRPr="00A26DE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4F8"/>
                  <w:vAlign w:val="center"/>
                  <w:hideMark/>
                </w:tcPr>
                <w:tbl>
                  <w:tblPr>
                    <w:tblW w:w="6840" w:type="dxa"/>
                    <w:jc w:val="center"/>
                    <w:tblCellSpacing w:w="6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840"/>
                  </w:tblGrid>
                  <w:tr w:rsidR="00A26DE6" w:rsidRPr="00A26DE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660066"/>
                            <w:sz w:val="28"/>
                          </w:rPr>
                        </w:pPr>
                        <w:r w:rsidRPr="00A26DE6">
                          <w:rPr>
                            <w:rFonts w:ascii="Microsoft Sans Serif" w:eastAsia="Times New Roman" w:hAnsi="Microsoft Sans Serif" w:cs="Microsoft Sans Serif"/>
                            <w:b/>
                            <w:bCs/>
                            <w:color w:val="660066"/>
                            <w:sz w:val="28"/>
                            <w:cs/>
                          </w:rPr>
                          <w:t>นโยบายและแนวทางดำเนินการ</w:t>
                        </w:r>
                      </w:p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4E8C"/>
                            <w:sz w:val="28"/>
                            <w:cs/>
                          </w:rPr>
                          <w:t>นโยบายป้องกันและขจัดมลพิษทางอากาศ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4E8C"/>
                            <w:sz w:val="28"/>
                          </w:rPr>
                          <w:t> 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ประกอบด้วยนโยบาย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ประการ</w:t>
                        </w: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16"/>
                          <w:gridCol w:w="3884"/>
                        </w:tblGrid>
                        <w:tr w:rsidR="00A26DE6" w:rsidRPr="00A26DE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noProof/>
                                  <w:sz w:val="28"/>
                                </w:rPr>
                                <w:lastRenderedPageBreak/>
                                <w:pict>
                                  <v:shape id="_x0000_s1027" type="#_x0000_t75" alt="" style="position:absolute;margin-left:0;margin-top:0;width:135.75pt;height:96.75pt;z-index:251661312;mso-wrap-distance-left:0;mso-wrap-distance-right:0;mso-position-horizontal:left;mso-position-vertical-relative:line" o:allowoverlap="f">
                                    <w10:wrap type="square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26DE6" w:rsidRPr="00A26DE6" w:rsidRDefault="00A26DE6" w:rsidP="00A26DE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เร่งรัดการลดมลพิษทางอากาศ อันเนื่องมาจากยานพาหนะอุตสาหกรรมและกิจกรรมการก่อสร้างและการขนส่ง</w:t>
                              </w:r>
                            </w:p>
                            <w:p w:rsidR="00A26DE6" w:rsidRPr="00A26DE6" w:rsidRDefault="00A26DE6" w:rsidP="00A26DE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รักษาคุณภาพอา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กาส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ในพื้นที่ที่มีคุณภาพอากาศเป็นไปตามาตรฐานที่กำหนด ไม่ให้เสื่อมโทรมลงไปจนเกินเกณฑ์มาตรฐาน</w:t>
                              </w:r>
                            </w:p>
                            <w:p w:rsidR="00A26DE6" w:rsidRPr="00A26DE6" w:rsidRDefault="00A26DE6" w:rsidP="00A26DE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ส่งเสริมและสนับสนุนการใช้ระบบขนส่งที่มีมลพิษน้อย</w:t>
                              </w:r>
                            </w:p>
                            <w:p w:rsidR="00A26DE6" w:rsidRPr="00A26DE6" w:rsidRDefault="00A26DE6" w:rsidP="00A26DE6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ส่งเสริมให้ภาครัฐ ภาคเอกชนและประชาชนทั่วไป ทั้งที่เป็นผู้ก่อมลพิษและผู้ได้รับมลพิษ ได้มีส่วนร่วมในการรักษาคุณภาพอากาศ</w:t>
                              </w:r>
                            </w:p>
                          </w:tc>
                        </w:tr>
                      </w:tbl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4E8C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4E8C"/>
                            <w:sz w:val="28"/>
                            <w:cs/>
                          </w:rPr>
                          <w:t>แนวทางดำเนินการ</w:t>
                        </w:r>
                      </w:p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  <w:t xml:space="preserve">1.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  <w:cs/>
                          </w:rPr>
                          <w:t>แนวทางด้านการจัดการ</w:t>
                        </w:r>
                      </w:p>
                      <w:tbl>
                        <w:tblPr>
                          <w:tblW w:w="6360" w:type="dxa"/>
                          <w:jc w:val="center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/>
                        </w:tblPr>
                        <w:tblGrid>
                          <w:gridCol w:w="176"/>
                          <w:gridCol w:w="6184"/>
                        </w:tblGrid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39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624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กำหนดพื้นที่ที่เหมาะสมสำหรับอุตสาหกรรมแยกจากแหล่งชุมชน และที่อยู่อาศัย โดยการใช้ผังเมืองรวมที่กำหนดไว้อย่างจริงจัง รวมทั้งให้มีการรายงานผลการทำงานของระบบหรืออุปกรณ์และเครื่องมือในการควบคุมการระบายมลพิษทางอากาศจากอุตสาหกรรมตามที่กำหนด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0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ติดตาม ตรวจสอบ วิเคราะห์และจัดทำฐานข้อมูลคุณภาพอากาศใน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บรรยากาส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ทั่วไปและการระบายสารมลพิษทางอากาศจากแหล่งกำเนิดอย่างต่อเนื่อง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1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กำหนดมาตรการป้องกันและจัดทำแผนฉุกเฉิน เพื่อป้องกัน แก้ไข ระงับ หรือบรรเทาเหตุฉุกเฉิน หรือเหตุอันตรายจากภาวะมลพิษทางอากาศ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2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ให้หน่วยงานราชการส่วนท้องถิ่นจัดทำแผนหลักและแผนปฏิบัติการลดมลพิษทางอากาศในท้องถิ่นอย่างต่อเนื่อง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3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ส่งเสริมการประสานงานระหว่างหน่วยงานราชการ รัฐวิสาหกิจ และภาคเอกชนเพื่อควบคุมและป้องกันมลพิษทางอากาศ รวมทั้งสนับสนุนการมใช้พลังงานอย่างมีประสิทธิภาพและประหยัด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4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ให้กำหนดแนวกันชนโยรอบพื้นที่เขตนิคมอุตสาหกรรมและเขตประกอบการ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อุต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สาหกกรม เพื่อควบคุมและลดภาวะมลพิษทางอากาศที่เกิดจากอุตสาหกรรม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5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ควบคุมและลดการใช้สารที่เป็นอันตรายต่อบรรยากาศชั้นโอโซน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6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ส่งเสริมการลงทุนและใช้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มาตราการ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ด้านภาษีเพื่อส่งเสริมด้านกิจกรรมหรืออุปกรณ์ เครื่องมือที่มีส่วนในการแก้ไขและป้องกันมลพิษทางอากาศ</w:t>
                              </w:r>
                            </w:p>
                          </w:tc>
                        </w:tr>
                      </w:tbl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  <w:br/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  <w:lastRenderedPageBreak/>
                          <w:t xml:space="preserve">2.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  <w:cs/>
                          </w:rPr>
                          <w:t>แนวทางด้านการลงทุน</w:t>
                        </w:r>
                      </w:p>
                      <w:tbl>
                        <w:tblPr>
                          <w:tblW w:w="6360" w:type="dxa"/>
                          <w:jc w:val="center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/>
                        </w:tblPr>
                        <w:tblGrid>
                          <w:gridCol w:w="176"/>
                          <w:gridCol w:w="6184"/>
                        </w:tblGrid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7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624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ส่งเสริมและสนับสนุนให้มีการปรับปรุงหรือเพิ่มมาตรฐานเชื้อเพลิงให้ได้มาตรฐานสากล รวมทั้งส่งเสริมการเลิกใช้เชื้อเพลิงที่มีสารพิษ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8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ส่งเสริมการสร้างระบบขนส่งมวลชนในเมืองใหญ่และระหว่างเมืองที่มีประสิทธิภาพ สร้างระบบขนส่งโดยทางรถไฟ รวมทั้งจัดสร้างและปรับปรุงถนนและทางด่วนเพื่อเพิ่มพื้นผิวการจราจรให้มากขึ้น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49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ปรับปรุงถนนผ่านหมู่บ้านในชนบททุกหมู่บ้านและถนนทางเข้าออกหมู่บ้านเป็นระยะทาง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1000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เมตร จากทางเข้าออกหมู่บ้านให้เป็นถนนลาดยาง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แอสฟัส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 หรือ ถนนคอนกรีต และสนับสนุน ให้ท้องถิ่นสามารถกวาดถนน ดูดฝุ่น และล้างถนนได้อย่างมีประสิทธิภาพ</w:t>
                              </w:r>
                            </w:p>
                          </w:tc>
                        </w:tr>
                      </w:tbl>
                      <w:p w:rsidR="00A26DE6" w:rsidRPr="00A26DE6" w:rsidRDefault="00A26DE6" w:rsidP="00A26DE6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  <w:br/>
                          <w:t xml:space="preserve">3.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  <w:cs/>
                          </w:rPr>
                          <w:t>แนวทางด้านกฎหมาย</w:t>
                        </w:r>
                      </w:p>
                      <w:tbl>
                        <w:tblPr>
                          <w:tblW w:w="6360" w:type="dxa"/>
                          <w:jc w:val="center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/>
                        </w:tblPr>
                        <w:tblGrid>
                          <w:gridCol w:w="176"/>
                          <w:gridCol w:w="6184"/>
                        </w:tblGrid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0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624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กำหนดและปรับปรุงมาตรฐานต่างๆ ทั้งมาตรฐานทั่วไป และมาตรฐานแหล่งกำเนิด รวมทั้ง กำหนดวิธีการตรวจวัดให้ได้ตามมาตรฐานสากล และให้มีการบังคับใช้กฎหมายต่อผู้ฝ่าฝืนอย่างเคร่งครัด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1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กำหนดประเภทของแล่งกำเนิดมลพิษที่ต้องควบคุมการระบายอากาศเสียและกลิ่นออกสู่บรรยากาศ รวมทั้งการกำหนด มาตรฐานควบคุมมลพิษทางอากาศและกลิ่นจากแหล่งกำเนิดให้เหมาะสม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2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ให้ยานพาหนะทุกประเภทและทุกอายุการใช้งานต้องผ่านตรวจสภาพด้านมลพิษในท่อไอเสีย โดยใช้ระบบการตรวจสภาพแบบรวมศูนย์บริการ และใช้เครื่องหมาย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“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ห้ามใช้ชั่วคราว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”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หรือ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“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ห้ามใช้เด็ดขาด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”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สำหรับยานพาหนะก่อให้เกิดมลพิษเกินมาตรฐานควบคุมมลพิษจากแหล่งกำเนิดตามพระราชบัญญัติส่งเสริมและรักษาคุณภาพสิ่งแวดล้อมแห่งชาติ พ.ศ. </w:t>
                              </w: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2535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3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กำหนดระเบียบข้อบังคับ เพื่อกำหนดเกณฑ์มาตรฐานและข้อปฏิบัติในการควบคุมการ</w:t>
                              </w:r>
                              <w:proofErr w:type="spellStart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ก่อว</w:t>
                              </w:r>
                              <w:proofErr w:type="spellEnd"/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ร้างและกิจกรรมที่เกี่ยวเนื่องรวมทั้งให้การสร้างถนนต้องมีการปูผิวถนนไหล่ทาง และขอบทาง</w:t>
                              </w:r>
                            </w:p>
                          </w:tc>
                        </w:tr>
                      </w:tbl>
                      <w:p w:rsidR="00A26DE6" w:rsidRPr="00A26DE6" w:rsidRDefault="00A26DE6" w:rsidP="00A26DE6">
                        <w:pPr>
                          <w:spacing w:after="109" w:line="240" w:lineRule="auto"/>
                          <w:jc w:val="both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</w:pP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</w:rPr>
                          <w:br/>
                          <w:t xml:space="preserve">4. </w:t>
                        </w:r>
                        <w:r w:rsidRPr="00A26DE6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8A00"/>
                            <w:sz w:val="28"/>
                            <w:cs/>
                          </w:rPr>
                          <w:t>แนวทางด้านการสนับสนุน</w:t>
                        </w:r>
                      </w:p>
                      <w:tbl>
                        <w:tblPr>
                          <w:tblW w:w="6360" w:type="dxa"/>
                          <w:jc w:val="center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/>
                        </w:tblPr>
                        <w:tblGrid>
                          <w:gridCol w:w="176"/>
                          <w:gridCol w:w="6184"/>
                        </w:tblGrid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4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624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สนับสนุนและร่วมมือกับเอกชน ชมรม หรือกลุ่มอิสระและสื่อมวลชนทุกแขนง ให้มีส่วนรวมในการรณรงค์ และประชาสัมพันธ์ เพื่อให้ความรู้ ความเข้าใจและตระหนักถึงพิษภัย ของสารมลพิษทางอากาศ และรับทราบถึงการบังคับใช้กฎหมายกับผู้ก่อมลพิษทางอากาศทุกประเภท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5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สนับสนุนการศึกษาวิจัยด้านเทคโนโลยีการควบคุมและกำจัดอากาศเสีย รวมทั้งปรับปรุงดูแลและซ่อมบำรุงเครื่องยนต์เพื่อลดมลพิษ</w:t>
                              </w:r>
                            </w:p>
                          </w:tc>
                        </w:tr>
                        <w:tr w:rsidR="00A26DE6" w:rsidRPr="00A26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pict>
                                  <v:shape id="_x0000_i1056" type="#_x0000_t75" alt="" style="width:5.45pt;height:5.45pt;mso-wrap-distance-left:1.5pt;mso-wrap-distance-top:3pt;mso-wrap-distance-right:1.5pt;mso-wrap-distance-bottom:3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A26DE6" w:rsidRPr="00A26DE6" w:rsidRDefault="00A26DE6" w:rsidP="00A26DE6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A26DE6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ส่งเสริมการใช้มาตรการจูงใจทางเศรษฐกิจเพื่อสนับสนุนการแก้ไขปัญหามลพิษทางอากาศ</w:t>
                              </w:r>
                            </w:p>
                          </w:tc>
                        </w:tr>
                      </w:tbl>
                      <w:p w:rsidR="00A26DE6" w:rsidRPr="00A26DE6" w:rsidRDefault="00A26DE6" w:rsidP="00A26DE6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A26DE6" w:rsidRPr="00A26DE6" w:rsidRDefault="00A26DE6" w:rsidP="00A26DE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A26DE6" w:rsidRPr="00A26DE6" w:rsidRDefault="00A26DE6" w:rsidP="00A26DE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:rsidR="00FB3078" w:rsidRDefault="00A26DE6"/>
    <w:sectPr w:rsidR="00FB3078" w:rsidSect="00B5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114"/>
    <w:multiLevelType w:val="multilevel"/>
    <w:tmpl w:val="1BF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D407B"/>
    <w:multiLevelType w:val="multilevel"/>
    <w:tmpl w:val="F6C0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4217"/>
    <w:multiLevelType w:val="multilevel"/>
    <w:tmpl w:val="5AD8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6DE6"/>
    <w:rsid w:val="000B5E16"/>
    <w:rsid w:val="005E258C"/>
    <w:rsid w:val="006A64B5"/>
    <w:rsid w:val="00A26DE6"/>
    <w:rsid w:val="00B5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B0"/>
  </w:style>
  <w:style w:type="paragraph" w:styleId="4">
    <w:name w:val="heading 4"/>
    <w:basedOn w:val="a"/>
    <w:link w:val="40"/>
    <w:uiPriority w:val="9"/>
    <w:qFormat/>
    <w:rsid w:val="00A26DE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26DE6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empurplebig">
    <w:name w:val="empurplebig"/>
    <w:basedOn w:val="a0"/>
    <w:rsid w:val="00A26DE6"/>
  </w:style>
  <w:style w:type="paragraph" w:customStyle="1" w:styleId="empurplebig1">
    <w:name w:val="empurplebig1"/>
    <w:basedOn w:val="a"/>
    <w:rsid w:val="00A26D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Normal (Web)"/>
    <w:basedOn w:val="a"/>
    <w:uiPriority w:val="99"/>
    <w:semiHidden/>
    <w:unhideWhenUsed/>
    <w:rsid w:val="00A26D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mblue">
    <w:name w:val="emblue"/>
    <w:basedOn w:val="a0"/>
    <w:rsid w:val="00A26DE6"/>
  </w:style>
  <w:style w:type="paragraph" w:customStyle="1" w:styleId="emblue1">
    <w:name w:val="emblue1"/>
    <w:basedOn w:val="a"/>
    <w:rsid w:val="00A26D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mgreen">
    <w:name w:val="emgreen"/>
    <w:basedOn w:val="a"/>
    <w:rsid w:val="00A26D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d.go.th/info_serv/reg_polair.html" TargetMode="External"/><Relationship Id="rId5" Type="http://schemas.openxmlformats.org/officeDocument/2006/relationships/hyperlink" Target="http://www.pcd.go.th/info_serv/reg_pola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2021-09-28T03:41:00Z</dcterms:created>
  <dcterms:modified xsi:type="dcterms:W3CDTF">2021-09-28T03:42:00Z</dcterms:modified>
</cp:coreProperties>
</file>